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37f1d3ad94411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r>
        <w:rPr>
          <w:rFonts w:ascii="Arial" w:hAnsi="Arial"/>
          <w:b/>
        </w:rPr>
        <w:t xml:space="preserve">SCHEDULE</w:t>
      </w:r>
    </w:p>
    <w:p>
      <w:r>
        <w:br/>
      </w:r>
    </w:p>
    <w:p>
      <w:pPr>
        <w:pStyle w:val="Heading5"/>
      </w:pPr>
      <w:r>
        <w:rPr>
          <w:rFonts w:ascii="Arial" w:hAnsi="Arial"/>
          <w:b/>
        </w:rPr>
        <w:t xml:space="preserve">Apr 16, 2025 Day 1 9:00 AM EDT</w:t>
      </w:r>
    </w:p>
    <w:p>
      <w:r>
        <w:br/>
      </w:r>
    </w:p>
    <w:p>
      <w:pPr>
        <w:pStyle w:val="Heading5"/>
      </w:pPr>
      <w:r>
        <w:rPr>
          <w:rFonts w:ascii="Arial" w:hAnsi="Arial"/>
        </w:rPr>
        <w:t xml:space="preserve">9:00 AM EDT </w:t>
      </w:r>
      <w:r>
        <w:rPr>
          <w:rFonts w:ascii="Arial" w:hAnsi="Arial"/>
          <w:b/>
        </w:rPr>
        <w:t xml:space="preserve">Opening Remarks</w:t>
      </w:r>
    </w:p>
    <w:p>
      <w:r>
        <w:rPr>
          <w:rFonts w:ascii="Arial" w:hAnsi="Arial"/>
          <w:b/>
          <w:i/>
        </w:rPr>
        <w:t xml:space="preserve">Rachel Ehrlich Albanese, Barbra R. Parlin</w:t>
      </w:r>
    </w:p>
    <w:p>
      <w:r>
        <w:br/>
      </w:r>
    </w:p>
    <w:p>
      <w:pPr>
        <w:pStyle w:val="Heading5"/>
      </w:pPr>
      <w:r>
        <w:rPr>
          <w:rFonts w:ascii="Arial" w:hAnsi="Arial"/>
        </w:rPr>
        <w:t xml:space="preserve">9:05 AM EDT </w:t>
      </w:r>
      <w:r>
        <w:rPr>
          <w:rFonts w:ascii="Arial" w:hAnsi="Arial"/>
          <w:b/>
        </w:rPr>
        <w:t xml:space="preserve">Bankruptcy and Reorganization Hot Topics</w:t>
      </w:r>
    </w:p>
    <w:p>
      <w:r>
        <w:rPr>
          <w:rFonts w:ascii="Arial" w:hAnsi="Arial"/>
        </w:rPr>
        <w:t xml:space="preserve">After completing this session, participants will have a greater understanding of:</w:t>
      </w:r>
    </w:p>
    <w:p>
      <w:pPr>
        <w:pStyle w:val="ListParagraph"/>
        <w:numPr>
          <w:ilvl w:val="0"/>
          <w:numId w:val="2"/>
        </w:numPr>
      </w:pPr>
      <w:r>
        <w:rPr>
          <w:rFonts w:ascii="Arial" w:hAnsi="Arial"/>
        </w:rPr>
        <w:t xml:space="preserve">Understand amendments to local bankruptcy rules including disclosure rules regarding the use of AI</w:t>
      </w:r>
    </w:p>
    <w:p>
      <w:pPr>
        <w:pStyle w:val="ListParagraph"/>
        <w:numPr>
          <w:ilvl w:val="0"/>
          <w:numId w:val="2"/>
        </w:numPr>
      </w:pPr>
      <w:r>
        <w:rPr>
          <w:rFonts w:ascii="Arial" w:hAnsi="Arial"/>
        </w:rPr>
        <w:t xml:space="preserve">New SDNY procedures for combined Disclosure Statement and Confirmation Hearings (Spirit Airlines)</w:t>
      </w:r>
    </w:p>
    <w:p>
      <w:pPr>
        <w:pStyle w:val="ListParagraph"/>
        <w:numPr>
          <w:ilvl w:val="0"/>
          <w:numId w:val="2"/>
        </w:numPr>
      </w:pPr>
      <w:r>
        <w:rPr>
          <w:rFonts w:ascii="Arial" w:hAnsi="Arial"/>
        </w:rPr>
        <w:t xml:space="preserve">Whether to walk or run through chapter 11 – are chapter 22 cases inevitable?</w:t>
      </w:r>
    </w:p>
    <w:p>
      <w:pPr>
        <w:pStyle w:val="ListParagraph"/>
        <w:numPr>
          <w:ilvl w:val="0"/>
          <w:numId w:val="2"/>
        </w:numPr>
      </w:pPr>
      <w:r>
        <w:rPr>
          <w:rFonts w:ascii="Arial" w:hAnsi="Arial"/>
        </w:rPr>
        <w:t xml:space="preserve">Current filing trends in retail, dining, health care, aviation</w:t>
      </w:r>
    </w:p>
    <w:p>
      <w:pPr>
        <w:pStyle w:val="ListParagraph"/>
        <w:numPr>
          <w:ilvl w:val="0"/>
          <w:numId w:val="2"/>
        </w:numPr>
      </w:pPr>
      <w:r>
        <w:rPr>
          <w:rFonts w:ascii="Arial" w:hAnsi="Arial"/>
        </w:rPr>
        <w:t xml:space="preserve">Update on the impact of crypto-related cases, potential effects of tariffs and changes to SEC oversight/rules</w:t>
      </w:r>
    </w:p>
    <w:p>
      <w:pPr>
        <w:pStyle w:val="ListParagraph"/>
        <w:numPr>
          <w:ilvl w:val="0"/>
          <w:numId w:val="2"/>
        </w:numPr>
      </w:pPr>
      <w:r>
        <w:rPr>
          <w:rFonts w:ascii="Arial" w:hAnsi="Arial"/>
        </w:rPr>
        <w:t xml:space="preserve">Proposed changes to Bankruptcy Rule 3018 and what happens when no one votes in Subchapter V cases (1191(b))</w:t>
      </w:r>
    </w:p>
    <w:p>
      <w:pPr>
        <w:pStyle w:val="ListParagraph"/>
        <w:numPr>
          <w:ilvl w:val="0"/>
          <w:numId w:val="2"/>
        </w:numPr>
      </w:pPr>
      <w:r>
        <w:rPr>
          <w:rFonts w:ascii="Arial" w:hAnsi="Arial"/>
        </w:rPr>
        <w:t xml:space="preserve">Legislative and regulatory winds of change – updates on bankruptcy code and rules, as well as key bankruptcy reform issues in congress</w:t>
      </w:r>
    </w:p>
    <w:p>
      <w:r>
        <w:rPr>
          <w:rFonts w:ascii="Arial" w:hAnsi="Arial"/>
          <w:b/>
          <w:i/>
        </w:rPr>
        <w:t xml:space="preserve">Rachel Ehrlich Albanese, Hon. Lisa G. Beckerman, Barbra R. Parlin </w:t>
      </w:r>
    </w:p>
    <w:p>
      <w:r>
        <w:br/>
      </w:r>
    </w:p>
    <w:p>
      <w:pPr>
        <w:pStyle w:val="Heading5"/>
      </w:pPr>
      <w:r>
        <w:rPr>
          <w:rFonts w:ascii="Arial" w:hAnsi="Arial"/>
        </w:rPr>
        <w:t xml:space="preserve">10:05 AM EDT </w:t>
      </w:r>
      <w:r>
        <w:rPr>
          <w:rFonts w:ascii="Arial" w:hAnsi="Arial"/>
          <w:b/>
        </w:rPr>
        <w:t xml:space="preserve">Networking Break</w:t>
      </w:r>
    </w:p>
    <w:p>
      <w:r>
        <w:br/>
      </w:r>
    </w:p>
    <w:p>
      <w:pPr>
        <w:pStyle w:val="Heading5"/>
      </w:pPr>
      <w:r>
        <w:rPr>
          <w:rFonts w:ascii="Arial" w:hAnsi="Arial"/>
        </w:rPr>
        <w:t xml:space="preserve">10:15 AM EDT </w:t>
      </w:r>
      <w:r>
        <w:rPr>
          <w:rFonts w:ascii="Arial" w:hAnsi="Arial"/>
          <w:b/>
        </w:rPr>
        <w:t xml:space="preserve">Liability Management and other Pre-Petition Transactions</w:t>
      </w:r>
    </w:p>
    <w:p>
      <w:r>
        <w:rPr>
          <w:rFonts w:ascii="Arial" w:hAnsi="Arial"/>
        </w:rPr>
        <w:t xml:space="preserve">After completing this session, participants will have a greater understanding of:</w:t>
      </w:r>
    </w:p>
    <w:p>
      <w:pPr>
        <w:pStyle w:val="ListParagraph"/>
        <w:numPr>
          <w:ilvl w:val="0"/>
          <w:numId w:val="3"/>
        </w:numPr>
      </w:pPr>
      <w:r>
        <w:rPr>
          <w:rFonts w:ascii="Arial" w:hAnsi="Arial"/>
        </w:rPr>
        <w:t xml:space="preserve">Enforceability of pre-petition liability management transactions</w:t>
      </w:r>
    </w:p>
    <w:p>
      <w:pPr>
        <w:pStyle w:val="ListParagraph"/>
        <w:numPr>
          <w:ilvl w:val="0"/>
          <w:numId w:val="3"/>
        </w:numPr>
      </w:pPr>
      <w:r>
        <w:rPr>
          <w:rFonts w:ascii="Arial" w:hAnsi="Arial"/>
        </w:rPr>
        <w:t xml:space="preserve">Litigation issues arising pre and post-petition</w:t>
      </w:r>
    </w:p>
    <w:p>
      <w:pPr>
        <w:pStyle w:val="ListParagraph"/>
        <w:numPr>
          <w:ilvl w:val="0"/>
          <w:numId w:val="3"/>
        </w:numPr>
      </w:pPr>
      <w:r>
        <w:rPr>
          <w:rFonts w:ascii="Arial" w:hAnsi="Arial"/>
        </w:rPr>
        <w:t xml:space="preserve">Impact of LMEs on future restructurings/chapter 11 plans</w:t>
      </w:r>
    </w:p>
    <w:p>
      <w:pPr>
        <w:pStyle w:val="ListParagraph"/>
        <w:numPr>
          <w:ilvl w:val="0"/>
          <w:numId w:val="3"/>
        </w:numPr>
      </w:pPr>
      <w:r>
        <w:rPr>
          <w:rFonts w:ascii="Arial" w:hAnsi="Arial"/>
        </w:rPr>
        <w:t xml:space="preserve">Role of UCC and case players in LME claims litigation</w:t>
      </w:r>
    </w:p>
    <w:p>
      <w:r>
        <w:rPr>
          <w:rFonts w:ascii="Arial" w:hAnsi="Arial"/>
          <w:b/>
          <w:i/>
        </w:rPr>
        <w:t xml:space="preserve">Theresa A. Foudy, Susheel Kirpalani, Damian S. Schaible </w:t>
      </w:r>
    </w:p>
    <w:p>
      <w:r>
        <w:br/>
      </w:r>
    </w:p>
    <w:p>
      <w:pPr>
        <w:pStyle w:val="Heading5"/>
      </w:pPr>
      <w:r>
        <w:rPr>
          <w:rFonts w:ascii="Arial" w:hAnsi="Arial"/>
        </w:rPr>
        <w:t xml:space="preserve">11:15 AM EDT </w:t>
      </w:r>
      <w:r>
        <w:rPr>
          <w:rFonts w:ascii="Arial" w:hAnsi="Arial"/>
          <w:b/>
        </w:rPr>
        <w:t xml:space="preserve">Networking Break</w:t>
      </w:r>
    </w:p>
    <w:p>
      <w:r>
        <w:br/>
      </w:r>
    </w:p>
    <w:p>
      <w:pPr>
        <w:pStyle w:val="Heading5"/>
      </w:pPr>
      <w:r>
        <w:rPr>
          <w:rFonts w:ascii="Arial" w:hAnsi="Arial"/>
        </w:rPr>
        <w:t xml:space="preserve">11:30 AM EDT </w:t>
      </w:r>
      <w:r>
        <w:rPr>
          <w:rFonts w:ascii="Arial" w:hAnsi="Arial"/>
          <w:b/>
        </w:rPr>
        <w:t xml:space="preserve">Bankruptcy Financing Issues</w:t>
      </w:r>
    </w:p>
    <w:p>
      <w:r>
        <w:rPr>
          <w:rFonts w:ascii="Arial" w:hAnsi="Arial"/>
        </w:rPr>
        <w:t xml:space="preserve">After completing this session, participants will be able to:</w:t>
      </w:r>
    </w:p>
    <w:p>
      <w:pPr>
        <w:pStyle w:val="ListParagraph"/>
        <w:numPr>
          <w:ilvl w:val="0"/>
          <w:numId w:val="4"/>
        </w:numPr>
      </w:pPr>
      <w:r>
        <w:rPr>
          <w:rFonts w:ascii="Arial" w:hAnsi="Arial"/>
        </w:rPr>
        <w:t xml:space="preserve">Understand the latest contested issues in DIP financing in chapter 11</w:t>
      </w:r>
    </w:p>
    <w:p>
      <w:pPr>
        <w:pStyle w:val="ListParagraph"/>
        <w:numPr>
          <w:ilvl w:val="0"/>
          <w:numId w:val="4"/>
        </w:numPr>
      </w:pPr>
      <w:r>
        <w:rPr>
          <w:rFonts w:ascii="Arial" w:hAnsi="Arial"/>
        </w:rPr>
        <w:t xml:space="preserve">Identify the key issues and recent precedent regarding bankruptcy and non-bankruptcy financing solutions (e.g., uptier transactions, roll ups, equity conversion, DIP to exit facility, other case controls)</w:t>
      </w:r>
    </w:p>
    <w:p>
      <w:pPr>
        <w:pStyle w:val="ListParagraph"/>
        <w:numPr>
          <w:ilvl w:val="0"/>
          <w:numId w:val="4"/>
        </w:numPr>
      </w:pPr>
      <w:r>
        <w:rPr>
          <w:rFonts w:ascii="Arial" w:hAnsi="Arial"/>
        </w:rPr>
        <w:t xml:space="preserve">Learn about new developments in exit financing strategies and existing lender participation</w:t>
      </w:r>
    </w:p>
    <w:p>
      <w:pPr>
        <w:pStyle w:val="ListParagraph"/>
        <w:numPr>
          <w:ilvl w:val="0"/>
          <w:numId w:val="4"/>
        </w:numPr>
      </w:pPr>
      <w:r>
        <w:rPr>
          <w:rFonts w:ascii="Arial" w:hAnsi="Arial"/>
        </w:rPr>
        <w:t xml:space="preserve">Recognize the latest secured lender strategies for financing towards a sale process to monetize collateral</w:t>
      </w:r>
    </w:p>
    <w:p>
      <w:pPr>
        <w:pStyle w:val="ListParagraph"/>
        <w:numPr>
          <w:ilvl w:val="0"/>
          <w:numId w:val="4"/>
        </w:numPr>
      </w:pPr>
      <w:r>
        <w:rPr>
          <w:rFonts w:ascii="Arial" w:hAnsi="Arial"/>
        </w:rPr>
        <w:t xml:space="preserve">Learn about latest court rulings on inter-creditor disputes</w:t>
      </w:r>
    </w:p>
    <w:p>
      <w:r>
        <w:rPr>
          <w:rFonts w:ascii="Arial" w:hAnsi="Arial"/>
          <w:b/>
          <w:i/>
        </w:rPr>
        <w:t xml:space="preserve">Jasmine Ball, Michael L. Cook, Michelle M. McGreal </w:t>
      </w:r>
    </w:p>
    <w:p>
      <w:r>
        <w:br/>
      </w:r>
    </w:p>
    <w:p>
      <w:pPr>
        <w:pStyle w:val="Heading5"/>
      </w:pPr>
      <w:r>
        <w:rPr>
          <w:rFonts w:ascii="Arial" w:hAnsi="Arial"/>
        </w:rPr>
        <w:t xml:space="preserve">12:30 PM EDT </w:t>
      </w:r>
      <w:r>
        <w:rPr>
          <w:rFonts w:ascii="Arial" w:hAnsi="Arial"/>
          <w:b/>
        </w:rPr>
        <w:t xml:space="preserve">Lunch</w:t>
      </w:r>
    </w:p>
    <w:p>
      <w:r>
        <w:br/>
      </w:r>
    </w:p>
    <w:p>
      <w:pPr>
        <w:pStyle w:val="Heading5"/>
      </w:pPr>
      <w:r>
        <w:rPr>
          <w:rFonts w:ascii="Arial" w:hAnsi="Arial"/>
        </w:rPr>
        <w:t xml:space="preserve">1:15 PM EDT </w:t>
      </w:r>
      <w:r>
        <w:rPr>
          <w:rFonts w:ascii="Arial" w:hAnsi="Arial"/>
          <w:b/>
        </w:rPr>
        <w:t xml:space="preserve">Cross-Border Insolvencies and Chapter 15</w:t>
      </w:r>
    </w:p>
    <w:p>
      <w:r>
        <w:rPr>
          <w:rFonts w:ascii="Arial" w:hAnsi="Arial"/>
        </w:rPr>
        <w:t xml:space="preserve">After completing this session, participants will be able to:</w:t>
      </w:r>
    </w:p>
    <w:p>
      <w:pPr>
        <w:pStyle w:val="ListParagraph"/>
        <w:numPr>
          <w:ilvl w:val="0"/>
          <w:numId w:val="5"/>
        </w:numPr>
      </w:pPr>
      <w:r>
        <w:rPr>
          <w:rFonts w:ascii="Arial" w:hAnsi="Arial"/>
        </w:rPr>
        <w:t xml:space="preserve">Understand the intricacies of Chapters 11 and 15, particularly in relation to cross-border filings and developments.</w:t>
      </w:r>
    </w:p>
    <w:p>
      <w:pPr>
        <w:pStyle w:val="ListParagraph"/>
        <w:numPr>
          <w:ilvl w:val="0"/>
          <w:numId w:val="5"/>
        </w:numPr>
      </w:pPr>
      <w:r>
        <w:rPr>
          <w:rFonts w:ascii="Arial" w:hAnsi="Arial"/>
        </w:rPr>
        <w:t xml:space="preserve">Analyze the challenges and strategies involved in restructuring multi-jurisdictional corporate groups.</w:t>
      </w:r>
    </w:p>
    <w:p>
      <w:pPr>
        <w:pStyle w:val="ListParagraph"/>
        <w:numPr>
          <w:ilvl w:val="0"/>
          <w:numId w:val="5"/>
        </w:numPr>
      </w:pPr>
      <w:r>
        <w:rPr>
          <w:rFonts w:ascii="Arial" w:hAnsi="Arial"/>
        </w:rPr>
        <w:t xml:space="preserve">Identify and explain the differences between foreign main and non-main proceedings, and the latest trends in this area.</w:t>
      </w:r>
    </w:p>
    <w:p>
      <w:pPr>
        <w:pStyle w:val="ListParagraph"/>
        <w:numPr>
          <w:ilvl w:val="0"/>
          <w:numId w:val="5"/>
        </w:numPr>
      </w:pPr>
      <w:r>
        <w:rPr>
          <w:rFonts w:ascii="Arial" w:hAnsi="Arial"/>
        </w:rPr>
        <w:t xml:space="preserve">Evaluate methods to challenge recognition and enforce controversial foreign plans, considering the concept of extraterritoriality.</w:t>
      </w:r>
    </w:p>
    <w:p>
      <w:pPr>
        <w:pStyle w:val="ListParagraph"/>
        <w:numPr>
          <w:ilvl w:val="0"/>
          <w:numId w:val="5"/>
        </w:numPr>
      </w:pPr>
      <w:r>
        <w:rPr>
          <w:rFonts w:ascii="Arial" w:hAnsi="Arial"/>
        </w:rPr>
        <w:t xml:space="preserve">Stay updated on new foreign insolvency statutes and their implications.</w:t>
      </w:r>
    </w:p>
    <w:p>
      <w:pPr>
        <w:pStyle w:val="ListParagraph"/>
        <w:numPr>
          <w:ilvl w:val="0"/>
          <w:numId w:val="5"/>
        </w:numPr>
      </w:pPr>
      <w:r>
        <w:rPr>
          <w:rFonts w:ascii="Arial" w:hAnsi="Arial"/>
        </w:rPr>
        <w:t xml:space="preserve">Review and discuss current cases to apply theoretical knowledge to practical scenarios.</w:t>
      </w:r>
    </w:p>
    <w:p>
      <w:r>
        <w:rPr>
          <w:rFonts w:ascii="Arial" w:hAnsi="Arial"/>
          <w:b/>
          <w:i/>
        </w:rPr>
        <w:t xml:space="preserve">Hon. Allan L. Gropper, Craig Martin, Lisa M. Schweitzer </w:t>
      </w:r>
    </w:p>
    <w:p>
      <w:r>
        <w:br/>
      </w:r>
    </w:p>
    <w:p>
      <w:pPr>
        <w:pStyle w:val="Heading5"/>
      </w:pPr>
      <w:r>
        <w:rPr>
          <w:rFonts w:ascii="Arial" w:hAnsi="Arial"/>
        </w:rPr>
        <w:t xml:space="preserve">2:15 PM EDT </w:t>
      </w:r>
      <w:r>
        <w:rPr>
          <w:rFonts w:ascii="Arial" w:hAnsi="Arial"/>
          <w:b/>
        </w:rPr>
        <w:t xml:space="preserve">Networking Break</w:t>
      </w:r>
    </w:p>
    <w:p>
      <w:r>
        <w:br/>
      </w:r>
    </w:p>
    <w:p>
      <w:pPr>
        <w:pStyle w:val="Heading5"/>
      </w:pPr>
      <w:r>
        <w:rPr>
          <w:rFonts w:ascii="Arial" w:hAnsi="Arial"/>
        </w:rPr>
        <w:t xml:space="preserve">2:30 PM EDT </w:t>
      </w:r>
      <w:r>
        <w:rPr>
          <w:rFonts w:ascii="Arial" w:hAnsi="Arial"/>
          <w:b/>
        </w:rPr>
        <w:t xml:space="preserve">Turning It Around – Hot Issues in Chapter 11 Plans</w:t>
      </w:r>
    </w:p>
    <w:p>
      <w:r>
        <w:rPr>
          <w:rFonts w:ascii="Arial" w:hAnsi="Arial"/>
        </w:rPr>
        <w:t xml:space="preserve">After completing this session, participants will have a greater understanding of:</w:t>
      </w:r>
    </w:p>
    <w:p>
      <w:pPr>
        <w:pStyle w:val="ListParagraph"/>
        <w:numPr>
          <w:ilvl w:val="0"/>
          <w:numId w:val="6"/>
        </w:numPr>
      </w:pPr>
      <w:r>
        <w:rPr>
          <w:rFonts w:ascii="Arial" w:hAnsi="Arial"/>
        </w:rPr>
        <w:t xml:space="preserve">How to handle valuation and contested plan disputes</w:t>
      </w:r>
    </w:p>
    <w:p>
      <w:pPr>
        <w:pStyle w:val="ListParagraph"/>
        <w:numPr>
          <w:ilvl w:val="0"/>
          <w:numId w:val="6"/>
        </w:numPr>
      </w:pPr>
      <w:r>
        <w:rPr>
          <w:rFonts w:ascii="Arial" w:hAnsi="Arial"/>
        </w:rPr>
        <w:t xml:space="preserve">Third Party Releases, opting in or out, voting</w:t>
      </w:r>
    </w:p>
    <w:p>
      <w:pPr>
        <w:pStyle w:val="ListParagraph"/>
        <w:numPr>
          <w:ilvl w:val="0"/>
          <w:numId w:val="6"/>
        </w:numPr>
      </w:pPr>
      <w:r>
        <w:rPr>
          <w:rFonts w:ascii="Arial" w:hAnsi="Arial"/>
        </w:rPr>
        <w:t xml:space="preserve">The growing use of toggle plans coupled with a sale process</w:t>
      </w:r>
    </w:p>
    <w:p>
      <w:pPr>
        <w:pStyle w:val="ListParagraph"/>
        <w:numPr>
          <w:ilvl w:val="0"/>
          <w:numId w:val="6"/>
        </w:numPr>
      </w:pPr>
      <w:r>
        <w:rPr>
          <w:rFonts w:ascii="Arial" w:hAnsi="Arial"/>
        </w:rPr>
        <w:t xml:space="preserve">Strategies to resolve mass tort liabilities through bankruptcy</w:t>
      </w:r>
    </w:p>
    <w:p>
      <w:pPr>
        <w:pStyle w:val="ListParagraph"/>
        <w:numPr>
          <w:ilvl w:val="0"/>
          <w:numId w:val="6"/>
        </w:numPr>
      </w:pPr>
      <w:r>
        <w:rPr>
          <w:rFonts w:ascii="Arial" w:hAnsi="Arial"/>
        </w:rPr>
        <w:t xml:space="preserve">Conversion price disputes</w:t>
      </w:r>
    </w:p>
    <w:p>
      <w:r>
        <w:rPr>
          <w:rFonts w:ascii="Arial" w:hAnsi="Arial"/>
          <w:b/>
          <w:i/>
        </w:rPr>
        <w:t xml:space="preserve">Elizabeth A. LaPuma, Lisa Laukitis, John J. Monaghan, Anupama Yerramalli </w:t>
      </w:r>
    </w:p>
    <w:p>
      <w:r>
        <w:br/>
      </w:r>
    </w:p>
    <w:p>
      <w:pPr>
        <w:pStyle w:val="Heading5"/>
      </w:pPr>
      <w:r>
        <w:rPr>
          <w:rFonts w:ascii="Arial" w:hAnsi="Arial"/>
        </w:rPr>
        <w:t xml:space="preserve">4:00 PM EDT </w:t>
      </w:r>
      <w:r>
        <w:rPr>
          <w:rFonts w:ascii="Arial" w:hAnsi="Arial"/>
          <w:b/>
        </w:rPr>
        <w:t xml:space="preserve">Adjourn</w:t>
      </w:r>
    </w:p>
    <w:p>
      <w:r>
        <w:br/>
      </w:r>
    </w:p>
    <w:sectPr>
      <w:headerReference xmlns:r="http://schemas.openxmlformats.org/officeDocument/2006/relationships" w:type="default" r:id="rId2"/>
      <w:footerReference xmlns:r="http://schemas.openxmlformats.org/officeDocument/2006/relationships" w:type="default" r:id="rId3"/>
      <w:headerReference xmlns:r="http://schemas.openxmlformats.org/officeDocument/2006/relationships" w:type="even" r:id="rId4"/>
      <w:footerReference xmlns:r="http://schemas.openxmlformats.org/officeDocument/2006/relationships" w:type="even" r:id="rId5"/>
    </w:sectPr>
  </w:body>
</w:document>
</file>

<file path=word/footer1.xml><?xml version="1.0" encoding="utf-8"?>
<w:ftr xmlns:w="http://schemas.openxmlformats.org/wordprocessingml/2006/main">
  <w:p>
    <w:pPr>
      <w:pStyle w:val="Footer"/>
    </w:pPr>
    <w:r>
      <w:t xml:space="preserve">Page </w:t>
      <w:fldSimple w:instr="Page"/>
      <w:t xml:space="preserve"> of </w:t>
      <w:fldSimple w:instr="NUMPAGES"/>
    </w:r>
  </w:p>
</w:ftr>
</file>

<file path=word/footer2.xml><?xml version="1.0" encoding="utf-8"?>
<w:ftr xmlns:w="http://schemas.openxmlformats.org/wordprocessingml/2006/main">
  <w:p>
    <w:pPr>
      <w:pStyle w:val="Footer"/>
    </w:pPr>
    <w:r>
      <w:t xml:space="preserve">Page </w:t>
      <w:fldSimple w:instr="Page"/>
      <w:t xml:space="preserve"> of </w:t>
      <w:fldSimple w:instr="NUMPAGES"/>
    </w:r>
  </w:p>
</w:ftr>
</file>

<file path=word/header1.xml><?xml version="1.0" encoding="utf-8"?>
<w:hdr xmlns:w="http://schemas.openxmlformats.org/wordprocessingml/2006/main">
  <w:p>
    <w:pPr>
      <w:pStyle w:val="Header"/>
    </w:pPr>
    <w:r>
      <w:t>Practising Law Institute</w:t>
      <w:br/>
      <w:t>Bankruptcy &amp; Reorganizations 2025: Current Developments</w:t>
      <w:br/>
      <w:t>Apr 16, 2025</w:t>
      <w:br/>
      <w:t>PLI New York</w:t>
      <w:br/>
    </w:r>
  </w:p>
</w:hdr>
</file>

<file path=word/header2.xml><?xml version="1.0" encoding="utf-8"?>
<w:hdr xmlns:w="http://schemas.openxmlformats.org/wordprocessingml/2006/main">
  <w:p>
    <w:pPr>
      <w:pStyle w:val="Header"/>
    </w:pPr>
    <w:r>
      <w:t>Practising Law Institute</w:t>
      <w:br/>
      <w:t>Bankruptcy &amp; Reorganizations 2025: Current Developments</w:t>
      <w:br/>
      <w:t>Apr 16, 2025</w:t>
      <w:br/>
      <w:t>PLI New York</w:t>
      <w:br/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evenAndOddHeaders/>
</w:settings>
</file>

<file path=word/styles.xml><?xml version="1.0" encoding="utf-8"?>
<w:styles xmlns:w="http://schemas.openxmlformats.org/wordprocessingml/2006/main">
  <w:style xmlns:w="http://schemas.openxmlformats.org/wordprocessingml/2006/main"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xmlns:w="http://schemas.openxmlformats.org/wordprocessingml/2006/main" w:type="paragraph" w:styleId="ListParagraph">
    <w:name w:val="List Paragraph"/>
    <w:basedOn w:val="Normal"/>
    <w:qFormat/>
    <w:pPr>
      <w:ind w:star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1" /><Relationship Type="http://schemas.openxmlformats.org/officeDocument/2006/relationships/styles" Target="/word/styles.xml" Id="R6880e1fab02f4b77" /><Relationship Type="http://schemas.openxmlformats.org/officeDocument/2006/relationships/numbering" Target="/word/numbering.xml" Id="R209607434d8348a2" /><Relationship Type="http://schemas.openxmlformats.org/officeDocument/2006/relationships/header" Target="/word/header1.xml" Id="rId2" /><Relationship Type="http://schemas.openxmlformats.org/officeDocument/2006/relationships/header" Target="/word/header2.xml" Id="rId4" /><Relationship Type="http://schemas.openxmlformats.org/officeDocument/2006/relationships/footer" Target="/word/footer1.xml" Id="rId3" /><Relationship Type="http://schemas.openxmlformats.org/officeDocument/2006/relationships/footer" Target="/word/footer2.xml" Id="rId5" /></Relationships>
</file>